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ACFA4" w14:textId="77777777" w:rsidR="009F0A36" w:rsidRDefault="009F0A36" w:rsidP="009F0A36">
      <w:pPr>
        <w:widowControl w:val="0"/>
        <w:adjustRightInd w:val="0"/>
        <w:jc w:val="center"/>
        <w:rPr>
          <w:rFonts w:ascii="Arial" w:eastAsia="Times New Roman" w:hAnsi="Arial" w:cs="Arial"/>
          <w:b/>
          <w:bCs/>
          <w:i/>
          <w:iCs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lang w:eastAsia="fr-FR"/>
        </w:rPr>
        <w:t xml:space="preserve">Modèle de clauses statutaires validé par le HCCA </w:t>
      </w:r>
    </w:p>
    <w:p w14:paraId="72EACFA5" w14:textId="77777777" w:rsidR="00642EDE" w:rsidRDefault="00642EDE" w:rsidP="00642EDE">
      <w:pPr>
        <w:widowControl w:val="0"/>
        <w:adjustRightInd w:val="0"/>
        <w:jc w:val="center"/>
        <w:rPr>
          <w:rFonts w:ascii="Arial" w:eastAsia="Times New Roman" w:hAnsi="Arial" w:cs="Arial"/>
          <w:b/>
          <w:bCs/>
          <w:i/>
          <w:iCs/>
          <w:lang w:eastAsia="fr-FR"/>
        </w:rPr>
      </w:pPr>
    </w:p>
    <w:p w14:paraId="72EACFA6" w14:textId="77777777" w:rsidR="00642EDE" w:rsidRPr="00642EDE" w:rsidRDefault="00642EDE" w:rsidP="00642EDE">
      <w:pPr>
        <w:jc w:val="center"/>
        <w:rPr>
          <w:rFonts w:ascii="Arial" w:eastAsia="Times New Roman" w:hAnsi="Arial" w:cs="Arial"/>
          <w:b/>
          <w:bCs/>
          <w:iCs/>
          <w:lang w:eastAsia="fr-FR"/>
        </w:rPr>
      </w:pPr>
      <w:r w:rsidRPr="00642EDE">
        <w:rPr>
          <w:rFonts w:ascii="Arial" w:eastAsia="Times New Roman" w:hAnsi="Arial" w:cs="Arial"/>
          <w:b/>
          <w:bCs/>
          <w:iCs/>
          <w:lang w:eastAsia="fr-FR"/>
        </w:rPr>
        <w:t xml:space="preserve">Mise à jour avec l’arrêté du </w:t>
      </w:r>
      <w:r>
        <w:rPr>
          <w:rFonts w:ascii="Arial" w:eastAsia="Times New Roman" w:hAnsi="Arial" w:cs="Arial"/>
          <w:b/>
          <w:bCs/>
          <w:iCs/>
          <w:lang w:eastAsia="fr-FR"/>
        </w:rPr>
        <w:t>20 février 2020</w:t>
      </w:r>
    </w:p>
    <w:p w14:paraId="72EACFA7" w14:textId="77777777" w:rsidR="00642EDE" w:rsidRDefault="00642EDE" w:rsidP="00642EDE">
      <w:pPr>
        <w:spacing w:line="280" w:lineRule="exact"/>
        <w:jc w:val="center"/>
        <w:rPr>
          <w:rFonts w:ascii="Arial" w:eastAsia="Times New Roman" w:hAnsi="Arial" w:cs="Arial"/>
          <w:b/>
          <w:bCs/>
          <w:color w:val="00B050"/>
          <w:sz w:val="32"/>
          <w:szCs w:val="32"/>
          <w:lang w:eastAsia="fr-FR"/>
        </w:rPr>
      </w:pPr>
      <w:r w:rsidRPr="004B1EA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Option « réévaluation du bilan »</w:t>
      </w:r>
      <w:r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</w:t>
      </w:r>
      <w:hyperlink r:id="rId7" w:history="1">
        <w:r w:rsidRPr="00941277">
          <w:rPr>
            <w:rStyle w:val="Lienhypertexte"/>
            <w:rFonts w:ascii="Arial" w:eastAsia="Times New Roman" w:hAnsi="Arial" w:cs="Arial"/>
            <w:b/>
            <w:bCs/>
            <w:color w:val="00B050"/>
            <w:sz w:val="32"/>
            <w:szCs w:val="32"/>
            <w:lang w:eastAsia="fr-FR"/>
          </w:rPr>
          <w:fldChar w:fldCharType="begin"/>
        </w:r>
        <w:r w:rsidRPr="00941277">
          <w:rPr>
            <w:rStyle w:val="Lienhypertexte"/>
            <w:rFonts w:ascii="Arial" w:eastAsia="Times New Roman" w:hAnsi="Arial" w:cs="Arial"/>
            <w:b/>
            <w:bCs/>
            <w:color w:val="00B050"/>
            <w:sz w:val="32"/>
            <w:szCs w:val="32"/>
            <w:lang w:eastAsia="fr-FR"/>
          </w:rPr>
          <w:instrText xml:space="preserve"> REF C1 \h  \* MERGEFORMAT </w:instrText>
        </w:r>
        <w:r w:rsidRPr="00941277">
          <w:rPr>
            <w:rStyle w:val="Lienhypertexte"/>
            <w:rFonts w:ascii="Arial" w:eastAsia="Times New Roman" w:hAnsi="Arial" w:cs="Arial"/>
            <w:b/>
            <w:bCs/>
            <w:color w:val="00B050"/>
            <w:sz w:val="32"/>
            <w:szCs w:val="32"/>
            <w:lang w:eastAsia="fr-FR"/>
          </w:rPr>
        </w:r>
        <w:r w:rsidRPr="00941277">
          <w:rPr>
            <w:rStyle w:val="Lienhypertexte"/>
            <w:rFonts w:ascii="Arial" w:eastAsia="Times New Roman" w:hAnsi="Arial" w:cs="Arial"/>
            <w:b/>
            <w:bCs/>
            <w:color w:val="00B050"/>
            <w:sz w:val="32"/>
            <w:szCs w:val="32"/>
            <w:lang w:eastAsia="fr-FR"/>
          </w:rPr>
          <w:fldChar w:fldCharType="separate"/>
        </w:r>
        <w:r w:rsidR="00941277" w:rsidRPr="00941277">
          <w:rPr>
            <w:rStyle w:val="Lienhypertexte"/>
            <w:b/>
            <w:bCs/>
            <w:color w:val="00B050"/>
          </w:rPr>
          <w:t>(1)</w:t>
        </w:r>
        <w:r w:rsidRPr="00941277">
          <w:rPr>
            <w:rStyle w:val="Lienhypertexte"/>
            <w:rFonts w:ascii="Arial" w:eastAsia="Times New Roman" w:hAnsi="Arial" w:cs="Arial"/>
            <w:b/>
            <w:bCs/>
            <w:color w:val="00B050"/>
            <w:sz w:val="32"/>
            <w:szCs w:val="32"/>
            <w:lang w:eastAsia="fr-FR"/>
          </w:rPr>
          <w:fldChar w:fldCharType="end"/>
        </w:r>
      </w:hyperlink>
    </w:p>
    <w:p w14:paraId="72EACFA8" w14:textId="77777777" w:rsidR="00642EDE" w:rsidRDefault="00642EDE" w:rsidP="00642EDE">
      <w:pPr>
        <w:spacing w:line="280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4B1EA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Articles modifiés par rapport au modèle de statuts </w:t>
      </w:r>
    </w:p>
    <w:p w14:paraId="72EACFA9" w14:textId="77777777" w:rsidR="00642EDE" w:rsidRPr="004B1EA5" w:rsidRDefault="00642EDE" w:rsidP="00642EDE">
      <w:pPr>
        <w:spacing w:line="280" w:lineRule="exact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4B1EA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</w:t>
      </w:r>
      <w:proofErr w:type="gramStart"/>
      <w:r w:rsidRPr="004B1EA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type</w:t>
      </w:r>
      <w:proofErr w:type="gramEnd"/>
      <w:r w:rsidRPr="004B1EA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U1)</w:t>
      </w:r>
    </w:p>
    <w:p w14:paraId="72EACFAA" w14:textId="77777777" w:rsidR="00642EDE" w:rsidRPr="004B1EA5" w:rsidRDefault="00642EDE" w:rsidP="00642EDE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4B1EA5">
        <w:rPr>
          <w:rFonts w:ascii="Arial" w:eastAsia="Times New Roman" w:hAnsi="Arial" w:cs="Arial"/>
          <w:i/>
          <w:iCs/>
          <w:lang w:eastAsia="fr-FR"/>
        </w:rPr>
        <w:t>Les textes entre crochets ont un caractère facultatif</w:t>
      </w:r>
    </w:p>
    <w:p w14:paraId="72EACFAB" w14:textId="77777777" w:rsidR="00642EDE" w:rsidRPr="005670E7" w:rsidRDefault="00642EDE" w:rsidP="00642EDE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5670E7">
        <w:rPr>
          <w:rFonts w:ascii="Arial" w:eastAsia="Times New Roman" w:hAnsi="Arial" w:cs="Arial"/>
          <w:b/>
          <w:bCs/>
          <w:lang w:eastAsia="fr-FR"/>
        </w:rPr>
        <w:t>Article 40</w:t>
      </w:r>
    </w:p>
    <w:p w14:paraId="72EACFAC" w14:textId="77777777" w:rsidR="00642EDE" w:rsidRPr="005670E7" w:rsidRDefault="00642EDE" w:rsidP="00642EDE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5670E7">
        <w:rPr>
          <w:rFonts w:ascii="Arial" w:eastAsia="Times New Roman" w:hAnsi="Arial" w:cs="Arial"/>
          <w:b/>
          <w:bCs/>
          <w:lang w:eastAsia="fr-FR"/>
        </w:rPr>
        <w:t>Réunions et objet de l’assemblée générale ordinaire</w:t>
      </w:r>
    </w:p>
    <w:p w14:paraId="72EACFAD" w14:textId="77777777" w:rsidR="00642EDE" w:rsidRPr="002F20F0" w:rsidRDefault="00642EDE" w:rsidP="00642EDE">
      <w:pPr>
        <w:widowControl w:val="0"/>
        <w:adjustRightInd w:val="0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72EACFAE" w14:textId="77777777" w:rsidR="00642EDE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1° L’assemblée générale ordinaire doit être convoquée au moins une fois par an, dans les neuf mois qui suivent la clôture de l’exercice. </w:t>
      </w:r>
    </w:p>
    <w:p w14:paraId="72EACFAF" w14:textId="77777777" w:rsidR="00642EDE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2° L’assemblée générale ordinaire annuelle doit, après lecture du rapport du conseil d’administration aux associés coopérateurs dont le contenu est précisé à l’article 47 ci-dessous et du ou des rapports des commissaires aux comptes : </w:t>
      </w:r>
    </w:p>
    <w:p w14:paraId="72EACFB0" w14:textId="77777777" w:rsidR="00642ED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― Examiner, approuver les comptes annuels et décider de leur modification s’il y a lieu ;</w:t>
      </w:r>
    </w:p>
    <w:p w14:paraId="72EACFB1" w14:textId="77777777" w:rsidR="00642ED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― Le cas échéant, examiner et approuver les comptes consolidés ou combinés ;</w:t>
      </w:r>
    </w:p>
    <w:p w14:paraId="72EACFB2" w14:textId="77777777" w:rsidR="00642ED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― Donner ou refuser le quitus aux administrateurs ;</w:t>
      </w:r>
    </w:p>
    <w:p w14:paraId="72EACFB3" w14:textId="77777777" w:rsidR="00642ED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― Affecter le résultat selon les modalités prévues au 3 ci-dessous ;</w:t>
      </w:r>
    </w:p>
    <w:p w14:paraId="72EACFB4" w14:textId="77777777" w:rsidR="00642ED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― Procéder à la nomination des administrateurs et des commissaires aux comptes ;</w:t>
      </w:r>
    </w:p>
    <w:p w14:paraId="72EACFB5" w14:textId="1484DCC2" w:rsidR="00642ED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 w:rsidRPr="00AF3131">
        <w:rPr>
          <w:rFonts w:ascii="Arial" w:eastAsia="Times New Roman" w:hAnsi="Arial" w:cs="Arial"/>
          <w:lang w:eastAsia="fr-FR"/>
        </w:rPr>
        <w:t xml:space="preserve">― </w:t>
      </w:r>
      <w:r w:rsidR="00302EF2">
        <w:rPr>
          <w:rFonts w:ascii="Arial" w:eastAsia="Times New Roman" w:hAnsi="Arial" w:cs="Arial"/>
          <w:lang w:eastAsia="fr-FR"/>
        </w:rPr>
        <w:t>A</w:t>
      </w:r>
      <w:r w:rsidRPr="00AF3131">
        <w:rPr>
          <w:rFonts w:ascii="Arial" w:eastAsia="Times New Roman" w:hAnsi="Arial" w:cs="Arial"/>
          <w:lang w:eastAsia="fr-FR"/>
        </w:rPr>
        <w:t>pprouver l</w:t>
      </w:r>
      <w:r w:rsidR="006914CE">
        <w:rPr>
          <w:rFonts w:ascii="Arial" w:eastAsia="Times New Roman" w:hAnsi="Arial" w:cs="Arial"/>
          <w:lang w:eastAsia="fr-FR"/>
        </w:rPr>
        <w:t>’enveloppe</w:t>
      </w:r>
      <w:r w:rsidRPr="00AF3131">
        <w:rPr>
          <w:rFonts w:ascii="Arial" w:eastAsia="Times New Roman" w:hAnsi="Arial" w:cs="Arial"/>
          <w:lang w:eastAsia="fr-FR"/>
        </w:rPr>
        <w:t xml:space="preserve"> globale pour les indemnités compensatrices du temps </w:t>
      </w:r>
      <w:proofErr w:type="gramStart"/>
      <w:r w:rsidRPr="00AF3131">
        <w:rPr>
          <w:rFonts w:ascii="Arial" w:eastAsia="Times New Roman" w:hAnsi="Arial" w:cs="Arial"/>
          <w:lang w:eastAsia="fr-FR"/>
        </w:rPr>
        <w:t>consacré</w:t>
      </w:r>
      <w:proofErr w:type="gramEnd"/>
      <w:r w:rsidRPr="00AF3131">
        <w:rPr>
          <w:rFonts w:ascii="Arial" w:eastAsia="Times New Roman" w:hAnsi="Arial" w:cs="Arial"/>
          <w:lang w:eastAsia="fr-FR"/>
        </w:rPr>
        <w:t xml:space="preserve"> à l’administration de l’union ; </w:t>
      </w:r>
    </w:p>
    <w:p w14:paraId="72EACFB6" w14:textId="77777777" w:rsidR="00642EDE" w:rsidRPr="006F1A5C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b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 xml:space="preserve">― Approuver le budget nécessaire aux formations des administrateurs visées au paragraphe 5 de l’article 22 ; </w:t>
      </w:r>
    </w:p>
    <w:p w14:paraId="72EACFB7" w14:textId="77777777" w:rsidR="00642ED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― Constater la variation du capital social au cours de l’exercice ; </w:t>
      </w:r>
    </w:p>
    <w:p w14:paraId="72EACFB8" w14:textId="77777777" w:rsidR="00642EDE" w:rsidRDefault="00642EDE" w:rsidP="00642EDE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― Délibérer sur toutes autres questions figurant à l’ordre du jour.</w:t>
      </w:r>
    </w:p>
    <w:p w14:paraId="72EACFB9" w14:textId="77777777" w:rsidR="00642EDE" w:rsidRPr="004B1EA5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B1EA5">
        <w:rPr>
          <w:rFonts w:ascii="Arial" w:eastAsia="Times New Roman" w:hAnsi="Arial" w:cs="Arial"/>
          <w:color w:val="FF0000"/>
          <w:lang w:eastAsia="fr-FR"/>
        </w:rPr>
        <w:t>2 °bis L‘assemblée générale ordinaire peut décider, sur rapport du conseil d’administration, [et éventuellement, d’une fédération de coopérative agréée au titre de la révision], la réévaluation de tout ou partie du bilan.</w:t>
      </w:r>
    </w:p>
    <w:p w14:paraId="72EACFBA" w14:textId="77777777" w:rsidR="00642EDE" w:rsidRPr="00CB425E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 xml:space="preserve">3° Après imputation du report à nouveau déficitaire et dotation des réserves obligatoires, l’assemblée générale délibère ensuite sur la proposition motivée d’affectation des excédents </w:t>
      </w:r>
      <w:r w:rsidRPr="00CB425E">
        <w:rPr>
          <w:rFonts w:ascii="Arial" w:eastAsia="Times New Roman" w:hAnsi="Arial" w:cs="Arial"/>
          <w:lang w:eastAsia="fr-FR"/>
        </w:rPr>
        <w:lastRenderedPageBreak/>
        <w:t>répartissables présentée par le conseil d’administration successivement et s’il y a lieu sur :</w:t>
      </w:r>
    </w:p>
    <w:p w14:paraId="72EACFBB" w14:textId="77777777" w:rsidR="00642EDE" w:rsidRPr="00CB425E" w:rsidRDefault="00642EDE" w:rsidP="006F1A5C">
      <w:pPr>
        <w:spacing w:before="100" w:beforeAutospacing="1" w:after="100" w:afterAutospacing="1"/>
        <w:ind w:left="708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 xml:space="preserve">― L’intérêt servi sur le montant libéré des parts sociales.  Cet intérêt est au plus égal au taux fixé à l’article 14 de la loi n°47-1775 du 10 septembre 1947 portant statut de la coopération ; </w:t>
      </w:r>
    </w:p>
    <w:p w14:paraId="72EACFBC" w14:textId="77777777" w:rsidR="00642EDE" w:rsidRPr="00CB425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 xml:space="preserve">― La distribution, le cas échéant, de tout ou partie des dividendes reçus au titre des participations visées à l’article </w:t>
      </w:r>
      <w:hyperlink r:id="rId8" w:history="1">
        <w:r w:rsidRPr="00655918">
          <w:rPr>
            <w:rStyle w:val="Lienhypertexte"/>
            <w:rFonts w:ascii="Arial" w:eastAsia="Times New Roman" w:hAnsi="Arial" w:cs="Arial"/>
            <w:lang w:eastAsia="fr-FR"/>
          </w:rPr>
          <w:t>L.523-5-1</w:t>
        </w:r>
      </w:hyperlink>
      <w:r w:rsidRPr="00CB425E">
        <w:rPr>
          <w:rFonts w:ascii="Arial" w:eastAsia="Times New Roman" w:hAnsi="Arial" w:cs="Arial"/>
          <w:lang w:eastAsia="fr-FR"/>
        </w:rPr>
        <w:t xml:space="preserve"> du </w:t>
      </w:r>
      <w:r>
        <w:rPr>
          <w:rFonts w:ascii="Arial" w:eastAsia="Times New Roman" w:hAnsi="Arial" w:cs="Arial"/>
          <w:lang w:eastAsia="fr-FR"/>
        </w:rPr>
        <w:t>Code rural et de la pêche maritime</w:t>
      </w:r>
      <w:r w:rsidRPr="00CB425E">
        <w:rPr>
          <w:rFonts w:ascii="Arial" w:eastAsia="Times New Roman" w:hAnsi="Arial" w:cs="Arial"/>
          <w:lang w:eastAsia="fr-FR"/>
        </w:rPr>
        <w:t xml:space="preserve"> au prorata des parts sociales libérées ;</w:t>
      </w:r>
    </w:p>
    <w:p w14:paraId="72EACFBD" w14:textId="77777777" w:rsidR="00642EDE" w:rsidRPr="00CB425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>― La répartition de ristournes entre les associés coopérateurs proportionnellement aux opérations réalisées avec l’union et suivant les modalités prévues par les présents statuts ;</w:t>
      </w:r>
    </w:p>
    <w:p w14:paraId="72EACFBE" w14:textId="77777777" w:rsidR="00642EDE" w:rsidRPr="00CB425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>― La répartition de ristournes sous forme d’attribution de parts sociales entre les associés coopérateurs proportionnellement aux opérations réalisées avec l’union et suivant les modalités prévues par les statuts d’au moins 10 % des excédents annuels disponibles à l’issue des délibérations précédentes ; les parts sociales ainsi attribuées sont dites parts sociales d’épargne ;</w:t>
      </w:r>
    </w:p>
    <w:p w14:paraId="72EACFBF" w14:textId="77777777" w:rsidR="00642EDE" w:rsidRPr="00CB425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>― La constitution d’une « provision » pour parfaire l’intérêt servi aux parts sociales ;</w:t>
      </w:r>
    </w:p>
    <w:p w14:paraId="72EACFC0" w14:textId="77777777" w:rsidR="00642EDE" w:rsidRPr="00CB425E" w:rsidRDefault="00642EDE" w:rsidP="006F1A5C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>― La constitution d’une « provision » pour ristournes éventuelles ;</w:t>
      </w:r>
    </w:p>
    <w:p w14:paraId="72EACFC1" w14:textId="77777777" w:rsidR="00642EDE" w:rsidRPr="00CB425E" w:rsidRDefault="00642EDE" w:rsidP="00642EDE">
      <w:pPr>
        <w:widowControl w:val="0"/>
        <w:adjustRightInd w:val="0"/>
        <w:ind w:left="72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>― La dotation des réserves facultatives.</w:t>
      </w:r>
    </w:p>
    <w:p w14:paraId="72EACFC2" w14:textId="77777777" w:rsidR="00642EDE" w:rsidRPr="00CB425E" w:rsidRDefault="00642EDE" w:rsidP="00642EDE">
      <w:pPr>
        <w:widowControl w:val="0"/>
        <w:adjustRightInd w:val="0"/>
        <w:jc w:val="both"/>
        <w:rPr>
          <w:rFonts w:ascii="Verdana" w:eastAsia="Times New Roman" w:hAnsi="Verdana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>Ces décisions font l’objet, s’il y a lieu, de résolutions particulières. </w:t>
      </w:r>
    </w:p>
    <w:p w14:paraId="72EACFC3" w14:textId="77777777" w:rsidR="00642EDE" w:rsidRPr="005670E7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2EACFC4" w14:textId="77777777" w:rsidR="00642EDE" w:rsidRPr="005670E7" w:rsidRDefault="00642EDE" w:rsidP="00642EDE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5670E7">
        <w:rPr>
          <w:rFonts w:ascii="Arial" w:eastAsia="Times New Roman" w:hAnsi="Arial" w:cs="Arial"/>
          <w:b/>
          <w:bCs/>
          <w:lang w:eastAsia="fr-FR"/>
        </w:rPr>
        <w:t>Article 49</w:t>
      </w:r>
    </w:p>
    <w:p w14:paraId="72EACFC5" w14:textId="77777777" w:rsidR="00642EDE" w:rsidRPr="002F20F0" w:rsidRDefault="00642EDE" w:rsidP="006914CE">
      <w:pPr>
        <w:widowControl w:val="0"/>
        <w:adjustRightInd w:val="0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5670E7">
        <w:rPr>
          <w:rFonts w:ascii="Arial" w:eastAsia="Times New Roman" w:hAnsi="Arial" w:cs="Arial"/>
          <w:b/>
          <w:bCs/>
          <w:lang w:eastAsia="fr-FR"/>
        </w:rPr>
        <w:t>Exercice déficitaire et imputation des pertes</w:t>
      </w:r>
    </w:p>
    <w:p w14:paraId="72EACFC6" w14:textId="77777777" w:rsidR="00642EDE" w:rsidRPr="004B1EA5" w:rsidRDefault="00642EDE" w:rsidP="00642EDE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1° </w:t>
      </w:r>
      <w:r w:rsidRPr="004B1EA5">
        <w:rPr>
          <w:rFonts w:ascii="Arial" w:eastAsia="Times New Roman" w:hAnsi="Arial" w:cs="Arial"/>
          <w:lang w:eastAsia="fr-FR"/>
        </w:rPr>
        <w:t>Le déficit constaté au cours de l’exercice est, par décision de l’assemblée générale</w:t>
      </w:r>
      <w:r w:rsidRPr="004B1EA5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4B1EA5">
        <w:rPr>
          <w:rFonts w:ascii="Arial" w:eastAsia="Times New Roman" w:hAnsi="Arial" w:cs="Arial"/>
          <w:lang w:eastAsia="fr-FR"/>
        </w:rPr>
        <w:t xml:space="preserve">ordinaire annuelle, soit affecté en report à nouveau, soit imputé sur les réserves facultatives s’il en a été constitué, sur la réserve pour remboursement de parts, </w:t>
      </w:r>
      <w:r w:rsidRPr="004B1EA5">
        <w:rPr>
          <w:rFonts w:ascii="Arial" w:eastAsia="Times New Roman" w:hAnsi="Arial" w:cs="Arial"/>
          <w:color w:val="FF0000"/>
          <w:lang w:eastAsia="fr-FR"/>
        </w:rPr>
        <w:t xml:space="preserve">sur la réserve de réévaluation </w:t>
      </w:r>
      <w:r w:rsidRPr="004B1EA5">
        <w:rPr>
          <w:rFonts w:ascii="Arial" w:eastAsia="Times New Roman" w:hAnsi="Arial" w:cs="Arial"/>
          <w:lang w:eastAsia="fr-FR"/>
        </w:rPr>
        <w:t xml:space="preserve">et, après épuisement des autres réserves et des provisions pour parfaire l’intérêt aux parts et/ou pour ristournes éventuelles, sur la réserve légale et en dernier lieu sur les réserves indisponibles. </w:t>
      </w:r>
    </w:p>
    <w:p w14:paraId="72EACFC7" w14:textId="77777777" w:rsidR="00642EDE" w:rsidRPr="00CB425E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>Lorsque les résultats propres de l’union sont déficitaires, les dividendes perçus au titre des participations détenues sont, à due concurrence, affectés à l’apurement de ce déficit.</w:t>
      </w:r>
    </w:p>
    <w:p w14:paraId="72EACFC8" w14:textId="77777777" w:rsidR="00642EDE" w:rsidRPr="00CB425E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>Aucune distribution ne peut être faite en cas d’exercice déficitaire ou de maintien d’un report à nouveau déficitaire.</w:t>
      </w:r>
    </w:p>
    <w:p w14:paraId="72EACFC9" w14:textId="77777777" w:rsidR="00642EDE" w:rsidRPr="00CB425E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lang w:eastAsia="fr-FR"/>
        </w:rPr>
      </w:pPr>
      <w:r w:rsidRPr="00CB425E">
        <w:rPr>
          <w:rFonts w:ascii="Arial" w:eastAsia="Times New Roman" w:hAnsi="Arial" w:cs="Arial"/>
          <w:lang w:eastAsia="fr-FR"/>
        </w:rPr>
        <w:t>2° Le conseil d’administration devra, dans ce cas, présenter à l’assemblée générale ordinaire, dans son rapport, toutes propositions jugées nécessaires pour assurer le redressement financier de l’union. </w:t>
      </w:r>
    </w:p>
    <w:p w14:paraId="72EACFCA" w14:textId="77777777" w:rsidR="00642EDE" w:rsidRPr="00CB425E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lang w:eastAsia="fr-FR"/>
        </w:rPr>
      </w:pPr>
    </w:p>
    <w:p w14:paraId="72EACFCB" w14:textId="77777777" w:rsidR="00642EDE" w:rsidRDefault="00642EDE" w:rsidP="00642EDE">
      <w:pPr>
        <w:widowControl w:val="0"/>
        <w:adjustRightInd w:val="0"/>
        <w:jc w:val="both"/>
        <w:rPr>
          <w:rFonts w:ascii="Arial" w:eastAsia="Times New Roman" w:hAnsi="Arial" w:cs="Arial"/>
          <w:lang w:eastAsia="fr-FR"/>
        </w:rPr>
      </w:pPr>
    </w:p>
    <w:p w14:paraId="72EACFCC" w14:textId="77777777" w:rsidR="00642EDE" w:rsidRPr="00646047" w:rsidRDefault="00642EDE" w:rsidP="00642EDE">
      <w:pPr>
        <w:jc w:val="center"/>
        <w:rPr>
          <w:rFonts w:ascii="Calibri" w:eastAsia="Times New Roman" w:hAnsi="Calibri" w:cs="Arial"/>
          <w:sz w:val="32"/>
          <w:szCs w:val="32"/>
          <w:lang w:eastAsia="fr-FR"/>
        </w:rPr>
      </w:pPr>
      <w:r w:rsidRPr="00646047">
        <w:rPr>
          <w:rFonts w:ascii="Calibri" w:eastAsia="Times New Roman" w:hAnsi="Calibri" w:cs="Arial"/>
          <w:b/>
          <w:sz w:val="32"/>
          <w:szCs w:val="32"/>
          <w:lang w:eastAsia="fr-FR"/>
        </w:rPr>
        <w:t xml:space="preserve"> Commentaires</w:t>
      </w:r>
    </w:p>
    <w:p w14:paraId="72EACFCD" w14:textId="77777777" w:rsidR="00642EDE" w:rsidRPr="008629EA" w:rsidRDefault="00642EDE" w:rsidP="00642EDE">
      <w:pPr>
        <w:jc w:val="both"/>
        <w:rPr>
          <w:rFonts w:ascii="Arial" w:eastAsia="Times New Roman" w:hAnsi="Arial" w:cs="Arial"/>
          <w:lang w:eastAsia="fr-FR"/>
        </w:rPr>
      </w:pPr>
    </w:p>
    <w:p w14:paraId="72EACFCE" w14:textId="77777777" w:rsidR="00642EDE" w:rsidRPr="008629EA" w:rsidRDefault="00642EDE" w:rsidP="00642EDE">
      <w:pPr>
        <w:jc w:val="both"/>
        <w:rPr>
          <w:rFonts w:ascii="Arial" w:eastAsia="Times New Roman" w:hAnsi="Arial" w:cs="Arial"/>
          <w:lang w:eastAsia="fr-FR"/>
        </w:rPr>
      </w:pPr>
      <w:bookmarkStart w:id="1" w:name="C1"/>
      <w:r w:rsidRPr="008629EA">
        <w:rPr>
          <w:rFonts w:ascii="Arial" w:eastAsia="Times New Roman" w:hAnsi="Arial" w:cs="Arial"/>
          <w:b/>
          <w:color w:val="00B050"/>
          <w:lang w:eastAsia="fr-FR"/>
        </w:rPr>
        <w:t>(1)</w:t>
      </w:r>
      <w:bookmarkEnd w:id="1"/>
      <w:r>
        <w:rPr>
          <w:rFonts w:ascii="Arial" w:eastAsia="Times New Roman" w:hAnsi="Arial" w:cs="Arial"/>
          <w:lang w:eastAsia="fr-FR"/>
        </w:rPr>
        <w:tab/>
        <w:t>Cf. A</w:t>
      </w:r>
      <w:r w:rsidRPr="008629EA">
        <w:rPr>
          <w:rFonts w:ascii="Arial" w:eastAsia="Times New Roman" w:hAnsi="Arial" w:cs="Arial"/>
          <w:lang w:eastAsia="fr-FR"/>
        </w:rPr>
        <w:t xml:space="preserve">rt. </w:t>
      </w:r>
      <w:hyperlink r:id="rId9" w:history="1">
        <w:r w:rsidRPr="008629EA">
          <w:rPr>
            <w:rStyle w:val="Lienhypertexte"/>
            <w:rFonts w:ascii="Arial" w:eastAsia="Times New Roman" w:hAnsi="Arial" w:cs="Arial"/>
            <w:lang w:eastAsia="fr-FR"/>
          </w:rPr>
          <w:t>L.523-6</w:t>
        </w:r>
      </w:hyperlink>
      <w:r w:rsidRPr="008629EA">
        <w:rPr>
          <w:rFonts w:ascii="Arial" w:eastAsia="Times New Roman" w:hAnsi="Arial" w:cs="Arial"/>
          <w:lang w:eastAsia="fr-FR"/>
        </w:rPr>
        <w:t xml:space="preserve"> et </w:t>
      </w:r>
      <w:hyperlink r:id="rId10" w:history="1">
        <w:r w:rsidRPr="008629EA">
          <w:rPr>
            <w:rStyle w:val="Lienhypertexte"/>
            <w:rFonts w:ascii="Arial" w:eastAsia="Times New Roman" w:hAnsi="Arial" w:cs="Arial"/>
            <w:lang w:eastAsia="fr-FR"/>
          </w:rPr>
          <w:t>L.523-7</w:t>
        </w:r>
      </w:hyperlink>
      <w:r w:rsidRPr="008629EA">
        <w:rPr>
          <w:rFonts w:ascii="Arial" w:eastAsia="Times New Roman" w:hAnsi="Arial" w:cs="Arial"/>
          <w:lang w:eastAsia="fr-FR"/>
        </w:rPr>
        <w:t xml:space="preserve"> du </w:t>
      </w:r>
      <w:r>
        <w:rPr>
          <w:rFonts w:ascii="Arial" w:eastAsia="Times New Roman" w:hAnsi="Arial" w:cs="Arial"/>
          <w:lang w:eastAsia="fr-FR"/>
        </w:rPr>
        <w:t>Code rural et de la pêche maritime</w:t>
      </w:r>
    </w:p>
    <w:p w14:paraId="72EACFCF" w14:textId="77777777" w:rsidR="004D456F" w:rsidRDefault="004D456F"/>
    <w:sectPr w:rsidR="004D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DE"/>
    <w:rsid w:val="00302EF2"/>
    <w:rsid w:val="003734CD"/>
    <w:rsid w:val="003D2D7A"/>
    <w:rsid w:val="004D456F"/>
    <w:rsid w:val="00642EDE"/>
    <w:rsid w:val="006914CE"/>
    <w:rsid w:val="006F1A5C"/>
    <w:rsid w:val="00941277"/>
    <w:rsid w:val="009F0A36"/>
    <w:rsid w:val="00E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FA4"/>
  <w15:chartTrackingRefBased/>
  <w15:docId w15:val="{9E42758F-9B7F-4CE2-8986-A808B514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2ED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2E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idArticle=LEGIARTI000029947022&amp;cidTexte=LEGITEXT000006071367&amp;dateTexte=20171116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file:///M:\DAJF\Statuts%20Post%20EGA\Option%20r&#233;&#233;valuation%20du%20bilan%20comment&#233;e.docx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egifrance.gouv.fr/affichCodeArticle.do?idArticle=LEGIARTI000006584261&amp;cidTexte=LEGITEXT000006071367&amp;dateTexte=2017040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france.gouv.fr/affichCodeArticle.do?idArticle=LEGIARTI000006584259&amp;cidTexte=LEGITEXT000006071367&amp;dateTexte=2017040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6D15809AA2E47B3BCE0FCADC6B68F" ma:contentTypeVersion="6" ma:contentTypeDescription="Crée un document." ma:contentTypeScope="" ma:versionID="70dec46d16fa0751665d9e4847b901d0">
  <xsd:schema xmlns:xsd="http://www.w3.org/2001/XMLSchema" xmlns:xs="http://www.w3.org/2001/XMLSchema" xmlns:p="http://schemas.microsoft.com/office/2006/metadata/properties" xmlns:ns2="690328d7-345a-4af0-badb-b9eb0651e1fd" xmlns:ns3="761fdbc9-3b1a-45e0-8eb4-ff4fb95ce610" targetNamespace="http://schemas.microsoft.com/office/2006/metadata/properties" ma:root="true" ma:fieldsID="78c2f76a618c9421dc8f1c5999d2f22f" ns2:_="" ns3:_="">
    <xsd:import namespace="690328d7-345a-4af0-badb-b9eb0651e1fd"/>
    <xsd:import namespace="761fdbc9-3b1a-45e0-8eb4-ff4fb95ce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28d7-345a-4af0-badb-b9eb0651e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dbc9-3b1a-45e0-8eb4-ff4fb95ce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3DA45-F084-43EB-A812-EF9742960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328d7-345a-4af0-badb-b9eb0651e1fd"/>
    <ds:schemaRef ds:uri="761fdbc9-3b1a-45e0-8eb4-ff4fb95ce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3806A-6698-482F-B1A8-532B4B301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C1FFA-78A3-44BB-8CB4-18BCB87646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1fdbc9-3b1a-45e0-8eb4-ff4fb95ce610"/>
    <ds:schemaRef ds:uri="http://purl.org/dc/elements/1.1/"/>
    <ds:schemaRef ds:uri="http://schemas.microsoft.com/office/2006/metadata/properties"/>
    <ds:schemaRef ds:uri="690328d7-345a-4af0-badb-b9eb0651e1f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Tina</dc:creator>
  <cp:keywords/>
  <dc:description/>
  <cp:lastModifiedBy>Muriel Tina</cp:lastModifiedBy>
  <cp:revision>2</cp:revision>
  <dcterms:created xsi:type="dcterms:W3CDTF">2020-03-10T14:07:00Z</dcterms:created>
  <dcterms:modified xsi:type="dcterms:W3CDTF">2020-03-10T14:07:00Z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0x0101007926D15809AA2E47B3BCE0FCADC6B68F</vt:lpwstr>
  </property>
</Properties>
</file>