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BA84" w14:textId="77777777" w:rsidR="007944ED" w:rsidRPr="00C902C7" w:rsidRDefault="007944ED" w:rsidP="007944ED">
      <w:pPr>
        <w:widowControl w:val="0"/>
        <w:adjustRightInd w:val="0"/>
        <w:jc w:val="center"/>
        <w:rPr>
          <w:rFonts w:ascii="Arial" w:eastAsia="Times New Roman" w:hAnsi="Arial" w:cs="Arial"/>
          <w:b/>
          <w:bCs/>
          <w:i/>
          <w:iCs/>
          <w:lang w:eastAsia="fr-FR"/>
        </w:rPr>
      </w:pPr>
      <w:bookmarkStart w:id="0" w:name="_GoBack"/>
      <w:bookmarkEnd w:id="0"/>
      <w:r w:rsidRPr="00C902C7">
        <w:rPr>
          <w:rFonts w:ascii="Arial" w:eastAsia="Times New Roman" w:hAnsi="Arial" w:cs="Arial"/>
          <w:b/>
          <w:bCs/>
          <w:i/>
          <w:iCs/>
          <w:lang w:eastAsia="fr-FR"/>
        </w:rPr>
        <w:t>Modèle de clauses statutaires validé par le HCCA</w:t>
      </w:r>
    </w:p>
    <w:p w14:paraId="3619379D" w14:textId="77777777" w:rsidR="007944ED" w:rsidRPr="00C902C7" w:rsidRDefault="007944ED" w:rsidP="007944ED">
      <w:pPr>
        <w:widowControl w:val="0"/>
        <w:adjustRightInd w:val="0"/>
        <w:jc w:val="center"/>
        <w:rPr>
          <w:rFonts w:ascii="Arial" w:eastAsia="Times New Roman" w:hAnsi="Arial" w:cs="Arial"/>
          <w:b/>
          <w:bCs/>
          <w:i/>
          <w:iCs/>
          <w:lang w:eastAsia="fr-FR"/>
        </w:rPr>
      </w:pPr>
    </w:p>
    <w:p w14:paraId="00775DD4" w14:textId="77777777" w:rsidR="007944ED" w:rsidRPr="00262E4B" w:rsidRDefault="007944ED" w:rsidP="007944ED">
      <w:pPr>
        <w:jc w:val="center"/>
        <w:rPr>
          <w:rFonts w:ascii="Arial" w:eastAsia="Times New Roman" w:hAnsi="Arial" w:cs="Arial"/>
          <w:b/>
          <w:bCs/>
          <w:iCs/>
          <w:lang w:eastAsia="fr-FR"/>
        </w:rPr>
      </w:pPr>
      <w:r w:rsidRPr="00262E4B">
        <w:rPr>
          <w:rFonts w:ascii="Arial" w:eastAsia="Times New Roman" w:hAnsi="Arial" w:cs="Arial"/>
          <w:b/>
          <w:bCs/>
          <w:iCs/>
          <w:lang w:eastAsia="fr-FR"/>
        </w:rPr>
        <w:t xml:space="preserve">Mise à jour avec l’arrêté du </w:t>
      </w:r>
      <w:r w:rsidR="00262E4B" w:rsidRPr="00262E4B">
        <w:rPr>
          <w:rFonts w:ascii="Arial" w:eastAsia="Times New Roman" w:hAnsi="Arial" w:cs="Arial"/>
          <w:b/>
          <w:bCs/>
          <w:iCs/>
          <w:lang w:eastAsia="fr-FR"/>
        </w:rPr>
        <w:t>20 février 2020</w:t>
      </w:r>
    </w:p>
    <w:p w14:paraId="7E572EAE" w14:textId="77777777" w:rsidR="007944ED" w:rsidRPr="00C902C7" w:rsidRDefault="007944ED" w:rsidP="007944ED">
      <w:pPr>
        <w:widowControl w:val="0"/>
        <w:adjustRightInd w:val="0"/>
        <w:jc w:val="center"/>
        <w:rPr>
          <w:rFonts w:ascii="Arial" w:eastAsia="Times New Roman" w:hAnsi="Arial" w:cs="Arial"/>
          <w:sz w:val="24"/>
          <w:szCs w:val="24"/>
          <w:lang w:eastAsia="fr-FR"/>
        </w:rPr>
      </w:pPr>
    </w:p>
    <w:p w14:paraId="71A6D0E8" w14:textId="77777777" w:rsidR="007944ED" w:rsidRPr="00C902C7" w:rsidRDefault="007944ED" w:rsidP="007944ED">
      <w:pPr>
        <w:spacing w:line="280" w:lineRule="exact"/>
        <w:jc w:val="center"/>
        <w:rPr>
          <w:rFonts w:ascii="Arial" w:eastAsia="Times New Roman" w:hAnsi="Arial" w:cs="Arial"/>
          <w:b/>
          <w:bCs/>
          <w:color w:val="00B050"/>
          <w:sz w:val="32"/>
          <w:szCs w:val="32"/>
          <w:lang w:eastAsia="fr-FR"/>
        </w:rPr>
      </w:pPr>
      <w:r w:rsidRPr="00C902C7">
        <w:rPr>
          <w:rFonts w:ascii="Arial" w:eastAsia="Times New Roman" w:hAnsi="Arial" w:cs="Arial"/>
          <w:b/>
          <w:bCs/>
          <w:sz w:val="32"/>
          <w:szCs w:val="32"/>
          <w:lang w:eastAsia="fr-FR"/>
        </w:rPr>
        <w:t xml:space="preserve">Option « Revalorisation du capital social » </w:t>
      </w:r>
      <w:r w:rsidRPr="00C902C7">
        <w:rPr>
          <w:rFonts w:ascii="Arial" w:eastAsia="Times New Roman" w:hAnsi="Arial" w:cs="Arial"/>
          <w:b/>
          <w:bCs/>
          <w:color w:val="00B050"/>
          <w:sz w:val="32"/>
          <w:szCs w:val="32"/>
          <w:lang w:eastAsia="fr-FR"/>
        </w:rPr>
        <w:fldChar w:fldCharType="begin"/>
      </w:r>
      <w:r w:rsidRPr="00C902C7">
        <w:rPr>
          <w:rFonts w:ascii="Arial" w:eastAsia="Times New Roman" w:hAnsi="Arial" w:cs="Arial"/>
          <w:b/>
          <w:bCs/>
          <w:sz w:val="32"/>
          <w:szCs w:val="32"/>
          <w:lang w:eastAsia="fr-FR"/>
        </w:rPr>
        <w:instrText xml:space="preserve"> REF C1 \h </w:instrText>
      </w:r>
      <w:r w:rsidRPr="00C902C7">
        <w:rPr>
          <w:rFonts w:ascii="Arial" w:eastAsia="Times New Roman" w:hAnsi="Arial" w:cs="Arial"/>
          <w:b/>
          <w:bCs/>
          <w:color w:val="00B050"/>
          <w:sz w:val="32"/>
          <w:szCs w:val="32"/>
          <w:lang w:eastAsia="fr-FR"/>
        </w:rPr>
        <w:instrText xml:space="preserve"> \* MERGEFORMAT </w:instrText>
      </w:r>
      <w:r w:rsidRPr="00C902C7">
        <w:rPr>
          <w:rFonts w:ascii="Arial" w:eastAsia="Times New Roman" w:hAnsi="Arial" w:cs="Arial"/>
          <w:b/>
          <w:bCs/>
          <w:color w:val="00B050"/>
          <w:sz w:val="32"/>
          <w:szCs w:val="32"/>
          <w:lang w:eastAsia="fr-FR"/>
        </w:rPr>
      </w:r>
      <w:r w:rsidRPr="00C902C7">
        <w:rPr>
          <w:rFonts w:ascii="Arial" w:eastAsia="Times New Roman" w:hAnsi="Arial" w:cs="Arial"/>
          <w:b/>
          <w:bCs/>
          <w:color w:val="00B050"/>
          <w:sz w:val="32"/>
          <w:szCs w:val="32"/>
          <w:lang w:eastAsia="fr-FR"/>
        </w:rPr>
        <w:fldChar w:fldCharType="separate"/>
      </w:r>
      <w:r w:rsidRPr="00C902C7">
        <w:rPr>
          <w:rFonts w:ascii="Arial" w:hAnsi="Arial" w:cs="Arial"/>
          <w:b/>
          <w:bCs/>
          <w:color w:val="00B050"/>
        </w:rPr>
        <w:t>(1)</w:t>
      </w:r>
      <w:r w:rsidRPr="00C902C7">
        <w:rPr>
          <w:rFonts w:ascii="Arial" w:eastAsia="Times New Roman" w:hAnsi="Arial" w:cs="Arial"/>
          <w:b/>
          <w:bCs/>
          <w:color w:val="00B050"/>
          <w:sz w:val="32"/>
          <w:szCs w:val="32"/>
          <w:lang w:eastAsia="fr-FR"/>
        </w:rPr>
        <w:fldChar w:fldCharType="end"/>
      </w:r>
    </w:p>
    <w:p w14:paraId="27A937DD" w14:textId="77777777" w:rsidR="007944ED" w:rsidRPr="00C902C7" w:rsidRDefault="007944ED" w:rsidP="007944ED">
      <w:pPr>
        <w:spacing w:line="280" w:lineRule="exact"/>
        <w:jc w:val="center"/>
        <w:rPr>
          <w:rFonts w:ascii="Arial" w:eastAsia="Times New Roman" w:hAnsi="Arial" w:cs="Arial"/>
          <w:sz w:val="32"/>
          <w:szCs w:val="32"/>
          <w:lang w:eastAsia="fr-FR"/>
        </w:rPr>
      </w:pPr>
    </w:p>
    <w:p w14:paraId="21D0DC33" w14:textId="77777777" w:rsidR="007944ED" w:rsidRDefault="007944ED" w:rsidP="007944ED">
      <w:pPr>
        <w:spacing w:line="280" w:lineRule="exact"/>
        <w:jc w:val="center"/>
        <w:rPr>
          <w:rFonts w:ascii="Arial" w:eastAsia="Times New Roman" w:hAnsi="Arial" w:cs="Arial"/>
          <w:b/>
          <w:bCs/>
          <w:sz w:val="24"/>
          <w:szCs w:val="24"/>
          <w:lang w:eastAsia="fr-FR"/>
        </w:rPr>
      </w:pPr>
      <w:r w:rsidRPr="00C902C7">
        <w:rPr>
          <w:rFonts w:ascii="Arial" w:eastAsia="Times New Roman" w:hAnsi="Arial" w:cs="Arial"/>
          <w:b/>
          <w:bCs/>
          <w:sz w:val="24"/>
          <w:szCs w:val="24"/>
          <w:lang w:eastAsia="fr-FR"/>
        </w:rPr>
        <w:t xml:space="preserve">Articles modifiés par rapport au modèle de statuts </w:t>
      </w:r>
    </w:p>
    <w:p w14:paraId="649C4BDE" w14:textId="77777777" w:rsidR="007944ED" w:rsidRPr="00C902C7" w:rsidRDefault="007944ED" w:rsidP="007944ED">
      <w:pPr>
        <w:spacing w:line="280" w:lineRule="exact"/>
        <w:jc w:val="center"/>
        <w:rPr>
          <w:rFonts w:ascii="Arial" w:eastAsia="Times New Roman" w:hAnsi="Arial" w:cs="Arial"/>
          <w:sz w:val="24"/>
          <w:szCs w:val="24"/>
          <w:lang w:eastAsia="fr-FR"/>
        </w:rPr>
      </w:pPr>
      <w:r w:rsidRPr="00C902C7">
        <w:rPr>
          <w:rFonts w:ascii="Arial" w:eastAsia="Times New Roman" w:hAnsi="Arial" w:cs="Arial"/>
          <w:b/>
          <w:bCs/>
          <w:sz w:val="24"/>
          <w:szCs w:val="24"/>
          <w:lang w:eastAsia="fr-FR"/>
        </w:rPr>
        <w:t>(type U1)</w:t>
      </w:r>
    </w:p>
    <w:p w14:paraId="5B177E74" w14:textId="77777777" w:rsidR="007944ED" w:rsidRPr="00C902C7" w:rsidRDefault="007944ED" w:rsidP="007944ED">
      <w:pPr>
        <w:spacing w:before="100" w:beforeAutospacing="1" w:after="100" w:afterAutospacing="1"/>
        <w:jc w:val="center"/>
        <w:rPr>
          <w:rFonts w:ascii="Arial" w:eastAsia="Times New Roman" w:hAnsi="Arial" w:cs="Arial"/>
          <w:sz w:val="24"/>
          <w:szCs w:val="24"/>
          <w:lang w:eastAsia="fr-FR"/>
        </w:rPr>
      </w:pPr>
      <w:r w:rsidRPr="00C902C7">
        <w:rPr>
          <w:rFonts w:ascii="Arial" w:eastAsia="Times New Roman" w:hAnsi="Arial" w:cs="Arial"/>
          <w:i/>
          <w:iCs/>
          <w:lang w:eastAsia="fr-FR"/>
        </w:rPr>
        <w:t>Les textes entre crochets ont un caractère facultatif</w:t>
      </w:r>
    </w:p>
    <w:p w14:paraId="2F5B1D2E" w14:textId="77777777" w:rsidR="007944ED" w:rsidRPr="00C902C7" w:rsidRDefault="007944ED" w:rsidP="007944ED">
      <w:pPr>
        <w:widowControl w:val="0"/>
        <w:adjustRightInd w:val="0"/>
        <w:jc w:val="center"/>
        <w:rPr>
          <w:rFonts w:ascii="Arial" w:eastAsia="Times New Roman" w:hAnsi="Arial" w:cs="Arial"/>
          <w:sz w:val="24"/>
          <w:szCs w:val="24"/>
          <w:lang w:eastAsia="fr-FR"/>
        </w:rPr>
      </w:pPr>
      <w:r w:rsidRPr="00C902C7">
        <w:rPr>
          <w:rFonts w:ascii="Arial" w:eastAsia="Times New Roman" w:hAnsi="Arial" w:cs="Arial"/>
          <w:b/>
          <w:bCs/>
          <w:lang w:eastAsia="fr-FR"/>
        </w:rPr>
        <w:t>Article 15</w:t>
      </w:r>
    </w:p>
    <w:p w14:paraId="557B3CE9" w14:textId="77777777" w:rsidR="007944ED" w:rsidRPr="00C902C7" w:rsidRDefault="007944ED" w:rsidP="007944ED">
      <w:pPr>
        <w:widowControl w:val="0"/>
        <w:adjustRightInd w:val="0"/>
        <w:jc w:val="center"/>
        <w:rPr>
          <w:rFonts w:ascii="Arial" w:eastAsia="Times New Roman" w:hAnsi="Arial" w:cs="Arial"/>
          <w:sz w:val="24"/>
          <w:szCs w:val="24"/>
          <w:lang w:eastAsia="fr-FR"/>
        </w:rPr>
      </w:pPr>
      <w:r w:rsidRPr="00C902C7">
        <w:rPr>
          <w:rFonts w:ascii="Arial" w:eastAsia="Times New Roman" w:hAnsi="Arial" w:cs="Arial"/>
          <w:b/>
          <w:bCs/>
          <w:lang w:eastAsia="fr-FR"/>
        </w:rPr>
        <w:t>Augmentation du capital</w:t>
      </w:r>
    </w:p>
    <w:p w14:paraId="73DC9042" w14:textId="77777777" w:rsidR="007944ED" w:rsidRPr="00C902C7" w:rsidRDefault="007944ED" w:rsidP="007944ED">
      <w:pPr>
        <w:widowControl w:val="0"/>
        <w:adjustRightInd w:val="0"/>
        <w:jc w:val="both"/>
        <w:rPr>
          <w:rFonts w:ascii="Arial" w:eastAsia="Times New Roman" w:hAnsi="Arial" w:cs="Arial"/>
          <w:sz w:val="24"/>
          <w:szCs w:val="24"/>
          <w:lang w:eastAsia="fr-FR"/>
        </w:rPr>
      </w:pPr>
    </w:p>
    <w:p w14:paraId="6F97171B"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 xml:space="preserve">1° Le capital social est susceptible d’augmentation par suite de l’admission de nouveaux associés coopérateurs ou de la souscription de parts nouvelles par les associés coopérateurs. </w:t>
      </w:r>
    </w:p>
    <w:p w14:paraId="125E4CA4"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color w:val="FF0000"/>
          <w:lang w:eastAsia="fr-FR"/>
        </w:rPr>
        <w:t xml:space="preserve">Il est également susceptible d’augmentation à la suite de sa revalorisation par prélèvement sur la réserve de réévaluation du bilan ou sur les réserves libres d’affectation, ces deux opérations étant cumulables. La revalorisation du capital ne peut être effectuée dans tous les cas que dans la limite du barème en vigueur fixant le taux de majoration applicable aux rentes viagères ; elle ne peut intervenir qu’après présentation à l’assemblée générale extraordinaire d’un rapport spécial de révision établi par un organisme agréé. L’augmentation de capital donne lieu à majoration de la valeur nominale des parts sociales antérieurement émises </w:t>
      </w:r>
      <w:r w:rsidRPr="00C902C7">
        <w:rPr>
          <w:rFonts w:ascii="Arial" w:eastAsia="Times New Roman" w:hAnsi="Arial" w:cs="Arial"/>
          <w:b/>
          <w:color w:val="00B050"/>
          <w:lang w:eastAsia="fr-FR"/>
        </w:rPr>
        <w:fldChar w:fldCharType="begin"/>
      </w:r>
      <w:r w:rsidRPr="00C902C7">
        <w:rPr>
          <w:rFonts w:ascii="Arial" w:eastAsia="Times New Roman" w:hAnsi="Arial" w:cs="Arial"/>
          <w:color w:val="FF0000"/>
          <w:lang w:eastAsia="fr-FR"/>
        </w:rPr>
        <w:instrText xml:space="preserve"> REF C2 \h </w:instrText>
      </w:r>
      <w:r>
        <w:rPr>
          <w:rFonts w:ascii="Arial" w:eastAsia="Times New Roman" w:hAnsi="Arial" w:cs="Arial"/>
          <w:b/>
          <w:color w:val="00B050"/>
          <w:lang w:eastAsia="fr-FR"/>
        </w:rPr>
        <w:instrText xml:space="preserve"> \* MERGEFORMAT </w:instrText>
      </w:r>
      <w:r w:rsidRPr="00C902C7">
        <w:rPr>
          <w:rFonts w:ascii="Arial" w:eastAsia="Times New Roman" w:hAnsi="Arial" w:cs="Arial"/>
          <w:b/>
          <w:color w:val="00B050"/>
          <w:lang w:eastAsia="fr-FR"/>
        </w:rPr>
      </w:r>
      <w:r w:rsidRPr="00C902C7">
        <w:rPr>
          <w:rFonts w:ascii="Arial" w:eastAsia="Times New Roman" w:hAnsi="Arial" w:cs="Arial"/>
          <w:b/>
          <w:color w:val="00B050"/>
          <w:lang w:eastAsia="fr-FR"/>
        </w:rPr>
        <w:fldChar w:fldCharType="separate"/>
      </w:r>
      <w:r w:rsidRPr="00C902C7">
        <w:rPr>
          <w:rFonts w:ascii="Arial" w:hAnsi="Arial" w:cs="Arial"/>
          <w:b/>
          <w:bCs/>
          <w:iCs/>
          <w:color w:val="00B050"/>
        </w:rPr>
        <w:t>(2)</w:t>
      </w:r>
      <w:r w:rsidRPr="00C902C7">
        <w:rPr>
          <w:rFonts w:ascii="Arial" w:eastAsia="Times New Roman" w:hAnsi="Arial" w:cs="Arial"/>
          <w:b/>
          <w:color w:val="00B050"/>
          <w:lang w:eastAsia="fr-FR"/>
        </w:rPr>
        <w:fldChar w:fldCharType="end"/>
      </w:r>
      <w:r w:rsidRPr="00C902C7">
        <w:rPr>
          <w:rFonts w:ascii="Arial" w:eastAsia="Times New Roman" w:hAnsi="Arial" w:cs="Arial"/>
          <w:b/>
          <w:color w:val="00B050"/>
          <w:lang w:eastAsia="fr-FR"/>
        </w:rPr>
        <w:t xml:space="preserve"> </w:t>
      </w:r>
      <w:r w:rsidRPr="00C902C7">
        <w:rPr>
          <w:rFonts w:ascii="Arial" w:eastAsia="Times New Roman" w:hAnsi="Arial" w:cs="Arial"/>
          <w:color w:val="FF0000"/>
          <w:lang w:eastAsia="fr-FR"/>
        </w:rPr>
        <w:t>ou à distribution de nouvelles parts sociales.</w:t>
      </w:r>
      <w:r w:rsidRPr="00C902C7">
        <w:rPr>
          <w:rFonts w:ascii="Arial" w:eastAsia="Times New Roman" w:hAnsi="Arial" w:cs="Arial"/>
          <w:b/>
          <w:color w:val="00B050"/>
          <w:lang w:eastAsia="fr-FR"/>
        </w:rPr>
        <w:fldChar w:fldCharType="begin"/>
      </w:r>
      <w:r w:rsidRPr="00C902C7">
        <w:rPr>
          <w:rFonts w:ascii="Arial" w:eastAsia="Times New Roman" w:hAnsi="Arial" w:cs="Arial"/>
          <w:color w:val="FF0000"/>
          <w:lang w:eastAsia="fr-FR"/>
        </w:rPr>
        <w:instrText xml:space="preserve"> REF C3 \h </w:instrText>
      </w:r>
      <w:r>
        <w:rPr>
          <w:rFonts w:ascii="Arial" w:eastAsia="Times New Roman" w:hAnsi="Arial" w:cs="Arial"/>
          <w:b/>
          <w:color w:val="00B050"/>
          <w:lang w:eastAsia="fr-FR"/>
        </w:rPr>
        <w:instrText xml:space="preserve"> \* MERGEFORMAT </w:instrText>
      </w:r>
      <w:r w:rsidRPr="00C902C7">
        <w:rPr>
          <w:rFonts w:ascii="Arial" w:eastAsia="Times New Roman" w:hAnsi="Arial" w:cs="Arial"/>
          <w:b/>
          <w:color w:val="00B050"/>
          <w:lang w:eastAsia="fr-FR"/>
        </w:rPr>
      </w:r>
      <w:r w:rsidRPr="00C902C7">
        <w:rPr>
          <w:rFonts w:ascii="Arial" w:eastAsia="Times New Roman" w:hAnsi="Arial" w:cs="Arial"/>
          <w:b/>
          <w:color w:val="00B050"/>
          <w:lang w:eastAsia="fr-FR"/>
        </w:rPr>
        <w:fldChar w:fldCharType="separate"/>
      </w:r>
      <w:r w:rsidRPr="00C902C7">
        <w:rPr>
          <w:rFonts w:ascii="Arial" w:hAnsi="Arial" w:cs="Arial"/>
          <w:b/>
          <w:bCs/>
          <w:iCs/>
          <w:color w:val="00B050"/>
        </w:rPr>
        <w:t>(3)</w:t>
      </w:r>
      <w:r w:rsidRPr="00C902C7">
        <w:rPr>
          <w:rFonts w:ascii="Arial" w:eastAsia="Times New Roman" w:hAnsi="Arial" w:cs="Arial"/>
          <w:b/>
          <w:color w:val="00B050"/>
          <w:lang w:eastAsia="fr-FR"/>
        </w:rPr>
        <w:fldChar w:fldCharType="end"/>
      </w:r>
      <w:r w:rsidRPr="00C902C7">
        <w:rPr>
          <w:rFonts w:ascii="Arial" w:eastAsia="Times New Roman" w:hAnsi="Arial" w:cs="Arial"/>
          <w:b/>
          <w:color w:val="00B050"/>
          <w:lang w:eastAsia="fr-FR"/>
        </w:rPr>
        <w:fldChar w:fldCharType="begin"/>
      </w:r>
      <w:r w:rsidRPr="00C902C7">
        <w:rPr>
          <w:rFonts w:ascii="Arial" w:eastAsia="Times New Roman" w:hAnsi="Arial" w:cs="Arial"/>
          <w:b/>
          <w:color w:val="00B050"/>
          <w:lang w:eastAsia="fr-FR"/>
        </w:rPr>
        <w:instrText xml:space="preserve"> REF C4 \h </w:instrText>
      </w:r>
      <w:r>
        <w:rPr>
          <w:rFonts w:ascii="Arial" w:eastAsia="Times New Roman" w:hAnsi="Arial" w:cs="Arial"/>
          <w:b/>
          <w:color w:val="00B050"/>
          <w:lang w:eastAsia="fr-FR"/>
        </w:rPr>
        <w:instrText xml:space="preserve"> \* MERGEFORMAT </w:instrText>
      </w:r>
      <w:r w:rsidRPr="00C902C7">
        <w:rPr>
          <w:rFonts w:ascii="Arial" w:eastAsia="Times New Roman" w:hAnsi="Arial" w:cs="Arial"/>
          <w:b/>
          <w:color w:val="00B050"/>
          <w:lang w:eastAsia="fr-FR"/>
        </w:rPr>
      </w:r>
      <w:r w:rsidRPr="00C902C7">
        <w:rPr>
          <w:rFonts w:ascii="Arial" w:eastAsia="Times New Roman" w:hAnsi="Arial" w:cs="Arial"/>
          <w:b/>
          <w:color w:val="00B050"/>
          <w:lang w:eastAsia="fr-FR"/>
        </w:rPr>
        <w:fldChar w:fldCharType="separate"/>
      </w:r>
      <w:r w:rsidRPr="00C902C7">
        <w:rPr>
          <w:rFonts w:ascii="Arial" w:hAnsi="Arial" w:cs="Arial"/>
          <w:b/>
          <w:bCs/>
          <w:iCs/>
          <w:color w:val="00B050"/>
        </w:rPr>
        <w:t>(4)</w:t>
      </w:r>
      <w:r w:rsidRPr="00C902C7">
        <w:rPr>
          <w:rFonts w:ascii="Arial" w:eastAsia="Times New Roman" w:hAnsi="Arial" w:cs="Arial"/>
          <w:b/>
          <w:color w:val="00B050"/>
          <w:lang w:eastAsia="fr-FR"/>
        </w:rPr>
        <w:fldChar w:fldCharType="end"/>
      </w:r>
    </w:p>
    <w:p w14:paraId="46AEDD5C"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 xml:space="preserve">2° Ce capital social est également susceptible d’augmentation par attribution aux associés coopérateurs de parts sociales d’épargne visées à l’article 40 des présents statuts. </w:t>
      </w:r>
    </w:p>
    <w:p w14:paraId="3D6EEB96"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des associés coopérateurs inscrits à la date de convocation.</w:t>
      </w:r>
    </w:p>
    <w:p w14:paraId="6350B92C" w14:textId="77777777" w:rsidR="007944ED" w:rsidRPr="00C902C7" w:rsidRDefault="007944ED" w:rsidP="007944ED">
      <w:pPr>
        <w:widowControl w:val="0"/>
        <w:adjustRightInd w:val="0"/>
        <w:jc w:val="both"/>
        <w:rPr>
          <w:rFonts w:ascii="Arial" w:eastAsia="Times New Roman" w:hAnsi="Arial" w:cs="Arial"/>
          <w:sz w:val="24"/>
          <w:szCs w:val="24"/>
          <w:lang w:eastAsia="fr-FR"/>
        </w:rPr>
      </w:pPr>
    </w:p>
    <w:p w14:paraId="2ADCCB77" w14:textId="77777777" w:rsidR="007944ED" w:rsidRPr="00C902C7" w:rsidRDefault="007944ED" w:rsidP="007944ED">
      <w:pPr>
        <w:widowControl w:val="0"/>
        <w:adjustRightInd w:val="0"/>
        <w:jc w:val="center"/>
        <w:rPr>
          <w:rFonts w:ascii="Arial" w:eastAsia="Times New Roman" w:hAnsi="Arial" w:cs="Arial"/>
          <w:sz w:val="24"/>
          <w:szCs w:val="24"/>
          <w:lang w:eastAsia="fr-FR"/>
        </w:rPr>
      </w:pPr>
      <w:r w:rsidRPr="00C902C7">
        <w:rPr>
          <w:rFonts w:ascii="Arial" w:eastAsia="Times New Roman" w:hAnsi="Arial" w:cs="Arial"/>
          <w:b/>
          <w:bCs/>
          <w:lang w:eastAsia="fr-FR"/>
        </w:rPr>
        <w:t>Article 48</w:t>
      </w:r>
    </w:p>
    <w:p w14:paraId="73765F15" w14:textId="77777777" w:rsidR="007944ED" w:rsidRPr="00C902C7" w:rsidRDefault="007944ED" w:rsidP="007944ED">
      <w:pPr>
        <w:widowControl w:val="0"/>
        <w:adjustRightInd w:val="0"/>
        <w:jc w:val="center"/>
        <w:rPr>
          <w:rFonts w:ascii="Arial" w:eastAsia="Times New Roman" w:hAnsi="Arial" w:cs="Arial"/>
          <w:sz w:val="24"/>
          <w:szCs w:val="24"/>
          <w:lang w:eastAsia="fr-FR"/>
        </w:rPr>
      </w:pPr>
      <w:r w:rsidRPr="00C902C7">
        <w:rPr>
          <w:rFonts w:ascii="Arial" w:eastAsia="Times New Roman" w:hAnsi="Arial" w:cs="Arial"/>
          <w:b/>
          <w:bCs/>
          <w:lang w:eastAsia="fr-FR"/>
        </w:rPr>
        <w:t>Excédent et excédent répartissable</w:t>
      </w:r>
    </w:p>
    <w:p w14:paraId="1F2A9414" w14:textId="77777777" w:rsidR="007944ED" w:rsidRPr="00C902C7" w:rsidRDefault="007944ED" w:rsidP="007944ED">
      <w:pPr>
        <w:widowControl w:val="0"/>
        <w:adjustRightInd w:val="0"/>
        <w:jc w:val="both"/>
        <w:rPr>
          <w:rFonts w:ascii="Arial" w:eastAsia="Times New Roman" w:hAnsi="Arial" w:cs="Arial"/>
          <w:sz w:val="24"/>
          <w:szCs w:val="24"/>
          <w:lang w:eastAsia="fr-FR"/>
        </w:rPr>
      </w:pPr>
    </w:p>
    <w:p w14:paraId="3F7F8906" w14:textId="5E8C1EB1"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lastRenderedPageBreak/>
        <w:t xml:space="preserve">1° L’excédent de l’exercice est la résultante des produits et des charges de l’union tels qu’ils sont comptabilisés selon les règles visées à l’article 46. Ces produits ne comportent pas le montant total des subventions d’investissements reçues de l’Union Européenne, de l’Etat, des collectivités ou des établissements publics, qui </w:t>
      </w:r>
      <w:r>
        <w:rPr>
          <w:rFonts w:ascii="Arial" w:eastAsia="Times New Roman" w:hAnsi="Arial" w:cs="Arial"/>
          <w:lang w:eastAsia="fr-FR"/>
        </w:rPr>
        <w:t xml:space="preserve">sera </w:t>
      </w:r>
      <w:r w:rsidRPr="00C902C7">
        <w:rPr>
          <w:rFonts w:ascii="Arial" w:eastAsia="Times New Roman" w:hAnsi="Arial" w:cs="Arial"/>
          <w:lang w:eastAsia="fr-FR"/>
        </w:rPr>
        <w:t>porté directement à une réserve indisponible spéciale.</w:t>
      </w:r>
      <w:r>
        <w:rPr>
          <w:rFonts w:ascii="Arial" w:eastAsia="Times New Roman" w:hAnsi="Arial" w:cs="Arial"/>
          <w:lang w:eastAsia="fr-FR"/>
        </w:rPr>
        <w:t xml:space="preserve"> </w:t>
      </w:r>
      <w:r w:rsidRPr="00454FE3">
        <w:rPr>
          <w:rFonts w:ascii="Arial" w:eastAsia="Times New Roman" w:hAnsi="Arial" w:cs="Arial"/>
          <w:lang w:eastAsia="fr-FR"/>
        </w:rPr>
        <w:t xml:space="preserve">Toutefois, sur décision du conseil d'administration et dans la limite de 50 % de leur montant, ces subventions peuvent être comptabilisées comme produits au compte de résultat. </w:t>
      </w:r>
    </w:p>
    <w:p w14:paraId="1AB88924"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 xml:space="preserve">2° L’excédent répartissable est constitué de l’excédent, après imputation du report à nouveau déficitaire le cas échéant et diminué des sommes affectées aux réserves obligatoires. </w:t>
      </w:r>
    </w:p>
    <w:p w14:paraId="3471FB60"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 xml:space="preserve">Il est effectué annuellement sur l’excédent un prélèvement d’un dixième destiné à la constitution de la réserve légale prévue à l’article </w:t>
      </w:r>
      <w:hyperlink r:id="rId7" w:history="1">
        <w:r w:rsidRPr="00C902C7">
          <w:rPr>
            <w:rStyle w:val="Lienhypertexte"/>
            <w:rFonts w:ascii="Arial" w:eastAsia="Times New Roman" w:hAnsi="Arial" w:cs="Arial"/>
            <w:lang w:eastAsia="fr-FR"/>
          </w:rPr>
          <w:t>R.524-21</w:t>
        </w:r>
      </w:hyperlink>
      <w:r w:rsidRPr="00C902C7">
        <w:rPr>
          <w:rFonts w:ascii="Arial" w:eastAsia="Times New Roman" w:hAnsi="Arial" w:cs="Arial"/>
          <w:lang w:eastAsia="fr-FR"/>
        </w:rPr>
        <w:t xml:space="preserve"> du Code rural et de la pêche maritime. Ce prélèvement cesse d’être obligatoire quand cette réserve atteint une somme correspondant au montant du capital social. </w:t>
      </w:r>
    </w:p>
    <w:p w14:paraId="13C56ECA"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color w:val="FF0000"/>
          <w:lang w:eastAsia="fr-FR"/>
        </w:rPr>
        <w:t xml:space="preserve">Sous réserve des dispositions de l’article 15 paragraphe 1 alinéa 2, </w:t>
      </w:r>
      <w:r w:rsidRPr="00C902C7">
        <w:rPr>
          <w:rFonts w:ascii="Arial" w:eastAsia="Times New Roman" w:hAnsi="Arial" w:cs="Arial"/>
          <w:lang w:eastAsia="fr-FR"/>
        </w:rPr>
        <w:t xml:space="preserve">les réserves, quelles qu’elles soient, ne pourront être partagées entre les associés coopérateurs. </w:t>
      </w:r>
    </w:p>
    <w:p w14:paraId="1837F7DA"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3° L’excédent affecté au service de ristournes aux associés coopérateurs ne peut porter que sur le résultat des opérations réalisées entre ceux-ci et l’union. Cet excédent ne peut être réparti entre les associés coopérateurs que proportionnellement aux opérations qu’ils ont réalisées avec l’union au cours de l’exercice écoulé [et suivant les modalités prévues ci-dessous] :</w:t>
      </w:r>
    </w:p>
    <w:p w14:paraId="362C3013"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[Le</w:t>
      </w:r>
      <w:r w:rsidR="003B5005">
        <w:rPr>
          <w:rFonts w:ascii="Arial" w:eastAsia="Times New Roman" w:hAnsi="Arial" w:cs="Arial"/>
          <w:lang w:eastAsia="fr-FR"/>
        </w:rPr>
        <w:t xml:space="preserve"> résultat doit être subdivisé par branche </w:t>
      </w:r>
      <w:r w:rsidRPr="00C902C7">
        <w:rPr>
          <w:rFonts w:ascii="Arial" w:eastAsia="Times New Roman" w:hAnsi="Arial" w:cs="Arial"/>
          <w:lang w:eastAsia="fr-FR"/>
        </w:rPr>
        <w:t xml:space="preserve">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3B5005">
        <w:rPr>
          <w:rFonts w:ascii="Arial" w:eastAsia="Times New Roman" w:hAnsi="Arial" w:cs="Arial"/>
          <w:lang w:eastAsia="fr-FR"/>
        </w:rPr>
        <w:t>de devoir être</w:t>
      </w:r>
      <w:r w:rsidRPr="00C902C7">
        <w:rPr>
          <w:rFonts w:ascii="Arial" w:eastAsia="Times New Roman" w:hAnsi="Arial" w:cs="Arial"/>
          <w:lang w:eastAsia="fr-FR"/>
        </w:rPr>
        <w:t xml:space="preserve"> utilisé en tout ou partie à la couverture de déficits d’une ou de plusieurs autres subdivisions du résultat.]</w:t>
      </w:r>
    </w:p>
    <w:p w14:paraId="583D267D" w14:textId="77777777" w:rsidR="007944ED" w:rsidRPr="00C902C7" w:rsidRDefault="007944ED" w:rsidP="007944ED">
      <w:pPr>
        <w:widowControl w:val="0"/>
        <w:adjustRightInd w:val="0"/>
        <w:jc w:val="both"/>
        <w:rPr>
          <w:rFonts w:ascii="Arial" w:eastAsia="Times New Roman" w:hAnsi="Arial" w:cs="Arial"/>
          <w:lang w:eastAsia="fr-FR"/>
        </w:rPr>
      </w:pPr>
      <w:r w:rsidRPr="00C902C7">
        <w:rPr>
          <w:rFonts w:ascii="Arial" w:eastAsia="Times New Roman" w:hAnsi="Arial" w:cs="Arial"/>
          <w:lang w:eastAsia="fr-FR"/>
        </w:rPr>
        <w:t>L’excédent constaté au cours d’un exercice antérieur ne peut être réparti à moins qu’il n’ait été affecté à une provision pour parfaire l’intérêt aux parts ou pour ristournes éventuelles. La provision pour ristourne pourra être répartie entre les associés coopérateurs, mais seulement au prorata des opérations effectuées par chacun d’eux au titre de l’exercice au cours duquel elle a été constituée. </w:t>
      </w:r>
    </w:p>
    <w:p w14:paraId="3CFA5E3B" w14:textId="77777777" w:rsidR="007944ED" w:rsidRPr="00C902C7" w:rsidRDefault="007944ED" w:rsidP="007944ED">
      <w:pPr>
        <w:widowControl w:val="0"/>
        <w:adjustRightInd w:val="0"/>
        <w:jc w:val="both"/>
        <w:rPr>
          <w:rFonts w:ascii="Arial" w:eastAsia="Times New Roman" w:hAnsi="Arial" w:cs="Arial"/>
          <w:lang w:eastAsia="fr-FR"/>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7"/>
        <w:gridCol w:w="8220"/>
      </w:tblGrid>
      <w:tr w:rsidR="007944ED" w:rsidRPr="00C902C7" w14:paraId="15622E6B" w14:textId="77777777" w:rsidTr="000C01CD">
        <w:trPr>
          <w:trHeight w:val="749"/>
        </w:trPr>
        <w:tc>
          <w:tcPr>
            <w:tcW w:w="463" w:type="pct"/>
            <w:shd w:val="clear" w:color="auto" w:fill="33CCCC"/>
            <w:vAlign w:val="center"/>
          </w:tcPr>
          <w:p w14:paraId="6BFDC896" w14:textId="77777777" w:rsidR="007944ED" w:rsidRPr="00C902C7" w:rsidRDefault="007944ED" w:rsidP="00C448BE">
            <w:pPr>
              <w:widowControl w:val="0"/>
              <w:adjustRightInd w:val="0"/>
              <w:spacing w:after="0" w:line="240" w:lineRule="auto"/>
              <w:jc w:val="both"/>
              <w:rPr>
                <w:rFonts w:ascii="Arial" w:hAnsi="Arial" w:cs="Arial"/>
                <w:b/>
                <w:bCs/>
                <w:iCs/>
                <w:sz w:val="32"/>
                <w:szCs w:val="32"/>
              </w:rPr>
            </w:pPr>
            <w:r w:rsidRPr="00C902C7">
              <w:rPr>
                <w:rFonts w:ascii="Arial" w:hAnsi="Arial" w:cs="Arial"/>
                <w:b/>
                <w:bCs/>
                <w:iCs/>
                <w:sz w:val="32"/>
                <w:szCs w:val="32"/>
              </w:rPr>
              <w:t>N°</w:t>
            </w:r>
          </w:p>
        </w:tc>
        <w:tc>
          <w:tcPr>
            <w:tcW w:w="4535" w:type="pct"/>
            <w:gridSpan w:val="2"/>
            <w:shd w:val="clear" w:color="auto" w:fill="33CCCC"/>
            <w:vAlign w:val="center"/>
          </w:tcPr>
          <w:p w14:paraId="02050374" w14:textId="77777777" w:rsidR="007944ED" w:rsidRPr="00C902C7" w:rsidRDefault="007944ED" w:rsidP="00C448BE">
            <w:pPr>
              <w:widowControl w:val="0"/>
              <w:adjustRightInd w:val="0"/>
              <w:spacing w:after="0" w:line="240" w:lineRule="auto"/>
              <w:jc w:val="center"/>
              <w:rPr>
                <w:rFonts w:ascii="Arial" w:hAnsi="Arial" w:cs="Arial"/>
                <w:b/>
                <w:iCs/>
                <w:sz w:val="32"/>
                <w:szCs w:val="32"/>
              </w:rPr>
            </w:pPr>
            <w:r w:rsidRPr="00C902C7">
              <w:rPr>
                <w:rFonts w:ascii="Arial" w:hAnsi="Arial" w:cs="Arial"/>
                <w:b/>
                <w:bCs/>
                <w:sz w:val="32"/>
                <w:szCs w:val="32"/>
              </w:rPr>
              <w:t>Commentaires</w:t>
            </w:r>
          </w:p>
        </w:tc>
      </w:tr>
      <w:tr w:rsidR="007944ED" w:rsidRPr="00C902C7" w14:paraId="74C787D9" w14:textId="77777777" w:rsidTr="000C01CD">
        <w:trPr>
          <w:trHeight w:val="749"/>
        </w:trPr>
        <w:tc>
          <w:tcPr>
            <w:tcW w:w="463" w:type="pct"/>
            <w:vAlign w:val="center"/>
          </w:tcPr>
          <w:p w14:paraId="729B77F7" w14:textId="77777777" w:rsidR="007944ED" w:rsidRPr="00C902C7" w:rsidRDefault="007944ED" w:rsidP="00C448BE">
            <w:pPr>
              <w:widowControl w:val="0"/>
              <w:adjustRightInd w:val="0"/>
              <w:spacing w:after="0" w:line="240" w:lineRule="auto"/>
              <w:jc w:val="both"/>
              <w:rPr>
                <w:rFonts w:ascii="Arial" w:hAnsi="Arial" w:cs="Arial"/>
                <w:b/>
                <w:bCs/>
                <w:iCs/>
              </w:rPr>
            </w:pPr>
            <w:bookmarkStart w:id="1" w:name="C1"/>
            <w:r w:rsidRPr="00C902C7">
              <w:rPr>
                <w:rFonts w:ascii="Arial" w:hAnsi="Arial" w:cs="Arial"/>
                <w:b/>
                <w:bCs/>
                <w:color w:val="00B050"/>
              </w:rPr>
              <w:t>(1)</w:t>
            </w:r>
            <w:bookmarkEnd w:id="1"/>
          </w:p>
        </w:tc>
        <w:tc>
          <w:tcPr>
            <w:tcW w:w="4535" w:type="pct"/>
            <w:gridSpan w:val="2"/>
            <w:vAlign w:val="center"/>
          </w:tcPr>
          <w:p w14:paraId="51563F4F" w14:textId="77777777" w:rsidR="007944ED" w:rsidRPr="00C902C7" w:rsidRDefault="007944ED" w:rsidP="00C448BE">
            <w:pPr>
              <w:widowControl w:val="0"/>
              <w:adjustRightInd w:val="0"/>
              <w:spacing w:after="0" w:line="240" w:lineRule="auto"/>
              <w:jc w:val="both"/>
              <w:rPr>
                <w:rFonts w:ascii="Arial" w:hAnsi="Arial" w:cs="Arial"/>
                <w:iCs/>
              </w:rPr>
            </w:pPr>
            <w:r w:rsidRPr="00C902C7">
              <w:rPr>
                <w:rFonts w:ascii="Arial" w:hAnsi="Arial" w:cs="Arial"/>
                <w:bCs/>
              </w:rPr>
              <w:t>Cf. Art.</w:t>
            </w:r>
            <w:hyperlink r:id="rId8" w:history="1">
              <w:r w:rsidRPr="00C902C7">
                <w:rPr>
                  <w:rStyle w:val="Lienhypertexte"/>
                  <w:rFonts w:ascii="Arial" w:hAnsi="Arial" w:cs="Arial"/>
                </w:rPr>
                <w:t xml:space="preserve"> L.523-1</w:t>
              </w:r>
            </w:hyperlink>
            <w:r w:rsidRPr="00C902C7">
              <w:rPr>
                <w:rFonts w:ascii="Arial" w:hAnsi="Arial" w:cs="Arial"/>
                <w:bCs/>
              </w:rPr>
              <w:t xml:space="preserve"> du Code rural et de la pêche maritime</w:t>
            </w:r>
          </w:p>
        </w:tc>
      </w:tr>
      <w:tr w:rsidR="000C01CD" w:rsidRPr="00C902C7" w14:paraId="3C69DEBB" w14:textId="77777777" w:rsidTr="000C01CD">
        <w:trPr>
          <w:trHeight w:val="749"/>
        </w:trPr>
        <w:tc>
          <w:tcPr>
            <w:tcW w:w="467" w:type="pct"/>
            <w:gridSpan w:val="2"/>
            <w:vAlign w:val="center"/>
          </w:tcPr>
          <w:p w14:paraId="25B37AFB" w14:textId="77777777" w:rsidR="000C01CD" w:rsidRPr="00C902C7" w:rsidRDefault="000C01CD" w:rsidP="000D0BC1">
            <w:pPr>
              <w:widowControl w:val="0"/>
              <w:adjustRightInd w:val="0"/>
              <w:spacing w:after="0" w:line="240" w:lineRule="auto"/>
              <w:jc w:val="both"/>
              <w:rPr>
                <w:rFonts w:ascii="Arial" w:hAnsi="Arial" w:cs="Arial"/>
                <w:b/>
                <w:bCs/>
                <w:iCs/>
              </w:rPr>
            </w:pPr>
            <w:bookmarkStart w:id="2" w:name="C2"/>
            <w:r w:rsidRPr="00C902C7">
              <w:rPr>
                <w:rFonts w:ascii="Arial" w:hAnsi="Arial" w:cs="Arial"/>
                <w:b/>
                <w:bCs/>
                <w:iCs/>
                <w:color w:val="00B050"/>
              </w:rPr>
              <w:t>(2)</w:t>
            </w:r>
            <w:bookmarkEnd w:id="2"/>
          </w:p>
        </w:tc>
        <w:tc>
          <w:tcPr>
            <w:tcW w:w="4533" w:type="pct"/>
            <w:vAlign w:val="center"/>
          </w:tcPr>
          <w:p w14:paraId="7181BF6E" w14:textId="40825906" w:rsidR="000C01CD" w:rsidRPr="00C902C7" w:rsidRDefault="000C01CD" w:rsidP="000D0BC1">
            <w:pPr>
              <w:widowControl w:val="0"/>
              <w:adjustRightInd w:val="0"/>
              <w:spacing w:after="0" w:line="240" w:lineRule="auto"/>
              <w:jc w:val="both"/>
              <w:rPr>
                <w:rFonts w:ascii="Arial" w:hAnsi="Arial" w:cs="Arial"/>
                <w:bCs/>
              </w:rPr>
            </w:pPr>
            <w:r w:rsidRPr="00C902C7">
              <w:rPr>
                <w:rFonts w:ascii="Arial" w:hAnsi="Arial" w:cs="Arial"/>
                <w:bCs/>
              </w:rPr>
              <w:t>La valeur nominale des parts doit rester identique pour tous les associés. Si la revalorisation du capital social se traduit par une augmentation de la valeur nominale des parts, elle peut entraîner une modification du rapport prévu par les statuts entre le capital que doit souscrire chaque associé et son engagement à l’égard de l</w:t>
            </w:r>
            <w:r w:rsidR="001D680F">
              <w:rPr>
                <w:rFonts w:ascii="Arial" w:hAnsi="Arial" w:cs="Arial"/>
                <w:bCs/>
              </w:rPr>
              <w:t>‘union</w:t>
            </w:r>
            <w:r w:rsidR="00C46630">
              <w:rPr>
                <w:rFonts w:ascii="Arial" w:hAnsi="Arial" w:cs="Arial"/>
                <w:bCs/>
              </w:rPr>
              <w:t xml:space="preserve"> </w:t>
            </w:r>
            <w:r w:rsidRPr="00C902C7">
              <w:rPr>
                <w:rFonts w:ascii="Arial" w:hAnsi="Arial" w:cs="Arial"/>
                <w:bCs/>
              </w:rPr>
              <w:t>et peut conduire, par voie de conséquence, à des souscriptions complémentaires par une partie des associés.</w:t>
            </w:r>
          </w:p>
          <w:p w14:paraId="1999CD68" w14:textId="77777777" w:rsidR="000C01CD" w:rsidRPr="00C902C7" w:rsidRDefault="000C01CD" w:rsidP="000D0BC1">
            <w:pPr>
              <w:widowControl w:val="0"/>
              <w:adjustRightInd w:val="0"/>
              <w:spacing w:after="0" w:line="240" w:lineRule="auto"/>
              <w:jc w:val="both"/>
              <w:rPr>
                <w:rFonts w:ascii="Arial" w:hAnsi="Arial" w:cs="Arial"/>
                <w:bCs/>
              </w:rPr>
            </w:pPr>
          </w:p>
        </w:tc>
      </w:tr>
      <w:tr w:rsidR="000C01CD" w:rsidRPr="00C902C7" w14:paraId="3713DB89" w14:textId="77777777" w:rsidTr="000C01CD">
        <w:trPr>
          <w:trHeight w:val="749"/>
        </w:trPr>
        <w:tc>
          <w:tcPr>
            <w:tcW w:w="467" w:type="pct"/>
            <w:gridSpan w:val="2"/>
            <w:vAlign w:val="center"/>
          </w:tcPr>
          <w:p w14:paraId="44927E81" w14:textId="77777777" w:rsidR="000C01CD" w:rsidRPr="00C902C7" w:rsidRDefault="000C01CD" w:rsidP="000D0BC1">
            <w:pPr>
              <w:widowControl w:val="0"/>
              <w:adjustRightInd w:val="0"/>
              <w:spacing w:after="0" w:line="240" w:lineRule="auto"/>
              <w:jc w:val="both"/>
              <w:rPr>
                <w:rFonts w:ascii="Arial" w:hAnsi="Arial" w:cs="Arial"/>
                <w:b/>
                <w:bCs/>
                <w:iCs/>
              </w:rPr>
            </w:pPr>
            <w:bookmarkStart w:id="3" w:name="C3"/>
            <w:r w:rsidRPr="00C902C7">
              <w:rPr>
                <w:rFonts w:ascii="Arial" w:hAnsi="Arial" w:cs="Arial"/>
                <w:b/>
                <w:bCs/>
                <w:iCs/>
                <w:color w:val="00B050"/>
              </w:rPr>
              <w:lastRenderedPageBreak/>
              <w:t>(3)</w:t>
            </w:r>
            <w:bookmarkEnd w:id="3"/>
          </w:p>
        </w:tc>
        <w:tc>
          <w:tcPr>
            <w:tcW w:w="4533" w:type="pct"/>
            <w:vAlign w:val="center"/>
          </w:tcPr>
          <w:p w14:paraId="430BFB25" w14:textId="639E0428" w:rsidR="000C01CD" w:rsidRPr="00C902C7" w:rsidRDefault="000C01CD" w:rsidP="000D0BC1">
            <w:pPr>
              <w:widowControl w:val="0"/>
              <w:adjustRightInd w:val="0"/>
              <w:spacing w:after="0" w:line="240" w:lineRule="auto"/>
              <w:jc w:val="both"/>
              <w:rPr>
                <w:rFonts w:ascii="Arial" w:hAnsi="Arial" w:cs="Arial"/>
                <w:bCs/>
              </w:rPr>
            </w:pPr>
            <w:r w:rsidRPr="00C902C7">
              <w:rPr>
                <w:rFonts w:ascii="Arial" w:hAnsi="Arial" w:cs="Arial"/>
                <w:bCs/>
              </w:rPr>
              <w:t>Les parts nouvelles distribuées à l’occasion d’une revalorisation du capital social n’ont pas à être décomptées parmi celles que chaque associé doit souscrire en application de l’article 14 paragraphe 4 des présents statuts, le rapport prévu par les statuts entre le capital souscrit par chaque associé et son engagement à l’égard de l</w:t>
            </w:r>
            <w:r w:rsidR="001D680F">
              <w:rPr>
                <w:rFonts w:ascii="Arial" w:hAnsi="Arial" w:cs="Arial"/>
                <w:bCs/>
              </w:rPr>
              <w:t>’union</w:t>
            </w:r>
            <w:r w:rsidRPr="00C902C7">
              <w:rPr>
                <w:rFonts w:ascii="Arial" w:hAnsi="Arial" w:cs="Arial"/>
                <w:bCs/>
              </w:rPr>
              <w:t xml:space="preserve"> ne devant pas en principe être affecté par l’opération de revalorisation L’Assemblée générale extraordinaire peut décider que ces parts peuvent servir à satisfaire les obligations de souscription du capital social.(article 14 paragraphe 4 des présents statuts).</w:t>
            </w:r>
          </w:p>
          <w:p w14:paraId="3DAEA3F1" w14:textId="77777777" w:rsidR="000C01CD" w:rsidRPr="00C902C7" w:rsidRDefault="000C01CD" w:rsidP="000D0BC1">
            <w:pPr>
              <w:widowControl w:val="0"/>
              <w:adjustRightInd w:val="0"/>
              <w:spacing w:after="0" w:line="240" w:lineRule="auto"/>
              <w:jc w:val="both"/>
              <w:rPr>
                <w:rFonts w:ascii="Arial" w:hAnsi="Arial" w:cs="Arial"/>
                <w:bCs/>
              </w:rPr>
            </w:pPr>
          </w:p>
          <w:p w14:paraId="6FD424CC" w14:textId="77777777" w:rsidR="000C01CD" w:rsidRPr="00C902C7" w:rsidRDefault="000C01CD" w:rsidP="000D0BC1">
            <w:pPr>
              <w:widowControl w:val="0"/>
              <w:adjustRightInd w:val="0"/>
              <w:spacing w:after="0" w:line="240" w:lineRule="auto"/>
              <w:jc w:val="both"/>
              <w:rPr>
                <w:rFonts w:ascii="Arial" w:hAnsi="Arial" w:cs="Arial"/>
                <w:bCs/>
              </w:rPr>
            </w:pPr>
            <w:r w:rsidRPr="00C902C7">
              <w:rPr>
                <w:rFonts w:ascii="Arial" w:hAnsi="Arial" w:cs="Arial"/>
                <w:bCs/>
              </w:rPr>
              <w:t>En cas de mutation de propriété ou de jouissance d’une exploitation, l’engagement de transfert des parts sociales du cédant au cessionnaire peut, si les statuts le prévoient, viser les seules parts correspondant aux engagements souscrits. Dans ce cas, les parts distribuées à l’occasion de la revalorisation du capital sont remboursées au cédant dans les mêmes conditions qu’à l’associé qui se retire (Cf. article 20 des statuts).</w:t>
            </w:r>
          </w:p>
          <w:p w14:paraId="3894948E" w14:textId="77777777" w:rsidR="000C01CD" w:rsidRPr="00C902C7" w:rsidRDefault="000C01CD" w:rsidP="000D0BC1">
            <w:pPr>
              <w:widowControl w:val="0"/>
              <w:adjustRightInd w:val="0"/>
              <w:spacing w:after="0" w:line="240" w:lineRule="auto"/>
              <w:jc w:val="both"/>
              <w:rPr>
                <w:rFonts w:ascii="Arial" w:hAnsi="Arial" w:cs="Arial"/>
                <w:bCs/>
              </w:rPr>
            </w:pPr>
          </w:p>
        </w:tc>
      </w:tr>
      <w:tr w:rsidR="000C01CD" w:rsidRPr="00C902C7" w14:paraId="4A126AFA" w14:textId="77777777" w:rsidTr="000C01CD">
        <w:trPr>
          <w:trHeight w:val="749"/>
        </w:trPr>
        <w:tc>
          <w:tcPr>
            <w:tcW w:w="467" w:type="pct"/>
            <w:gridSpan w:val="2"/>
            <w:vAlign w:val="center"/>
          </w:tcPr>
          <w:p w14:paraId="0FD9E958" w14:textId="77777777" w:rsidR="000C01CD" w:rsidRPr="00C902C7" w:rsidRDefault="000C01CD" w:rsidP="000D0BC1">
            <w:pPr>
              <w:widowControl w:val="0"/>
              <w:adjustRightInd w:val="0"/>
              <w:spacing w:after="0" w:line="240" w:lineRule="auto"/>
              <w:jc w:val="both"/>
              <w:rPr>
                <w:rFonts w:ascii="Arial" w:hAnsi="Arial" w:cs="Arial"/>
                <w:b/>
                <w:bCs/>
                <w:iCs/>
              </w:rPr>
            </w:pPr>
            <w:bookmarkStart w:id="4" w:name="C4"/>
            <w:r w:rsidRPr="00C902C7">
              <w:rPr>
                <w:rFonts w:ascii="Arial" w:hAnsi="Arial" w:cs="Arial"/>
                <w:b/>
                <w:bCs/>
                <w:iCs/>
                <w:color w:val="00B050"/>
              </w:rPr>
              <w:t>(4)</w:t>
            </w:r>
            <w:bookmarkEnd w:id="4"/>
          </w:p>
        </w:tc>
        <w:tc>
          <w:tcPr>
            <w:tcW w:w="4533" w:type="pct"/>
            <w:vAlign w:val="center"/>
          </w:tcPr>
          <w:p w14:paraId="35D98EE4" w14:textId="77777777" w:rsidR="000C01CD" w:rsidRPr="00C902C7" w:rsidRDefault="000C01CD" w:rsidP="000D0BC1">
            <w:pPr>
              <w:widowControl w:val="0"/>
              <w:adjustRightInd w:val="0"/>
              <w:spacing w:after="0" w:line="240" w:lineRule="auto"/>
              <w:jc w:val="both"/>
              <w:rPr>
                <w:rFonts w:ascii="Arial" w:hAnsi="Arial" w:cs="Arial"/>
                <w:bCs/>
              </w:rPr>
            </w:pPr>
            <w:r w:rsidRPr="00C902C7">
              <w:rPr>
                <w:rFonts w:ascii="Arial" w:hAnsi="Arial" w:cs="Arial"/>
                <w:bCs/>
              </w:rPr>
              <w:t>Dans l’hypothèse où ces parts nouvelles seraient prises en considération pour la fixation d’un nouveau rapport statutaire, la revalorisation du capital peut entraîner, comme dans l’hypothèse visée dans la note (2) ci-dessus, des souscriptions complémentaires par une partie des associés.</w:t>
            </w:r>
          </w:p>
          <w:p w14:paraId="764B83F6" w14:textId="77777777" w:rsidR="000C01CD" w:rsidRPr="00C902C7" w:rsidRDefault="000C01CD" w:rsidP="000D0BC1">
            <w:pPr>
              <w:widowControl w:val="0"/>
              <w:adjustRightInd w:val="0"/>
              <w:spacing w:after="0" w:line="240" w:lineRule="auto"/>
              <w:jc w:val="both"/>
              <w:rPr>
                <w:rFonts w:ascii="Arial" w:hAnsi="Arial" w:cs="Arial"/>
                <w:bCs/>
              </w:rPr>
            </w:pPr>
          </w:p>
        </w:tc>
      </w:tr>
    </w:tbl>
    <w:p w14:paraId="3F9EE757" w14:textId="77777777" w:rsidR="000B72CB" w:rsidRDefault="000B72CB"/>
    <w:sectPr w:rsidR="000B7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ED"/>
    <w:rsid w:val="000B72CB"/>
    <w:rsid w:val="000C01CD"/>
    <w:rsid w:val="001D680F"/>
    <w:rsid w:val="00262E4B"/>
    <w:rsid w:val="00383973"/>
    <w:rsid w:val="003B5005"/>
    <w:rsid w:val="00606135"/>
    <w:rsid w:val="007944ED"/>
    <w:rsid w:val="00967FD8"/>
    <w:rsid w:val="00C46630"/>
    <w:rsid w:val="00D33C1C"/>
    <w:rsid w:val="00EA6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B38F"/>
  <w15:chartTrackingRefBased/>
  <w15:docId w15:val="{856541A3-3BA8-4911-A22E-76A41E92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4E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4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2179890&amp;cidTexte=LEGITEXT000006071367&amp;dateTexte=20171116" TargetMode="External"/><Relationship Id="rId3" Type="http://schemas.openxmlformats.org/officeDocument/2006/relationships/customXml" Target="../customXml/item3.xml"/><Relationship Id="rId7" Type="http://schemas.openxmlformats.org/officeDocument/2006/relationships/hyperlink" Target="https://www.legifrance.gouv.fr/affichCodeArticle.do?idArticle=LEGIARTI000018680821&amp;cidTexte=LEGITEXT000006071367&amp;dateTexte=201711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543E4-12F4-4DBF-8FB1-C5B96F5F7BE1}">
  <ds:schemaRefs>
    <ds:schemaRef ds:uri="http://schemas.microsoft.com/sharepoint/v3/contenttype/forms"/>
  </ds:schemaRefs>
</ds:datastoreItem>
</file>

<file path=customXml/itemProps2.xml><?xml version="1.0" encoding="utf-8"?>
<ds:datastoreItem xmlns:ds="http://schemas.openxmlformats.org/officeDocument/2006/customXml" ds:itemID="{BE35224C-5158-4D30-9583-AD387F2E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D2B98-826A-4CA1-921B-20360A60FA19}">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2020-03-10T14:09:00Z</dcterms:created>
  <dcterms:modified xsi:type="dcterms:W3CDTF">2020-03-10T14:09:00Z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